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351EF" w:rsidRDefault="003351EF">
      <w:pPr>
        <w:spacing w:line="276" w:lineRule="auto"/>
        <w:jc w:val="center"/>
        <w:rPr>
          <w:b/>
          <w:sz w:val="22"/>
          <w:szCs w:val="22"/>
        </w:rPr>
      </w:pPr>
    </w:p>
    <w:p w14:paraId="00000002" w14:textId="77777777" w:rsidR="003351EF" w:rsidRDefault="00000000">
      <w:pPr>
        <w:spacing w:line="276" w:lineRule="auto"/>
        <w:jc w:val="center"/>
        <w:rPr>
          <w:rFonts w:ascii="Arial" w:eastAsia="Arial" w:hAnsi="Arial" w:cs="Arial"/>
          <w:b/>
          <w:sz w:val="20"/>
          <w:szCs w:val="20"/>
        </w:rPr>
      </w:pPr>
      <w:r>
        <w:rPr>
          <w:rFonts w:ascii="Arial" w:eastAsia="Arial" w:hAnsi="Arial" w:cs="Arial"/>
          <w:b/>
          <w:sz w:val="20"/>
          <w:szCs w:val="20"/>
        </w:rPr>
        <w:t>CONFIDENTIALITY AGREEMENT</w:t>
      </w:r>
    </w:p>
    <w:p w14:paraId="00000003" w14:textId="77777777" w:rsidR="003351EF" w:rsidRDefault="00000000">
      <w:pPr>
        <w:spacing w:line="276" w:lineRule="auto"/>
        <w:jc w:val="center"/>
        <w:rPr>
          <w:rFonts w:ascii="Arial" w:eastAsia="Arial" w:hAnsi="Arial" w:cs="Arial"/>
          <w:sz w:val="20"/>
          <w:szCs w:val="20"/>
        </w:rPr>
      </w:pPr>
      <w:r>
        <w:rPr>
          <w:rFonts w:ascii="Arial" w:eastAsia="Arial" w:hAnsi="Arial" w:cs="Arial"/>
          <w:sz w:val="20"/>
          <w:szCs w:val="20"/>
        </w:rPr>
        <w:t>(hereinafter: NDA)</w:t>
      </w:r>
    </w:p>
    <w:p w14:paraId="00000004" w14:textId="77777777" w:rsidR="003351EF" w:rsidRDefault="003351EF">
      <w:pPr>
        <w:spacing w:line="276" w:lineRule="auto"/>
        <w:jc w:val="center"/>
        <w:rPr>
          <w:rFonts w:ascii="Arial" w:eastAsia="Arial" w:hAnsi="Arial" w:cs="Arial"/>
          <w:sz w:val="20"/>
          <w:szCs w:val="20"/>
        </w:rPr>
      </w:pPr>
    </w:p>
    <w:p w14:paraId="00000005" w14:textId="77777777" w:rsidR="003351EF" w:rsidRDefault="003351EF">
      <w:pPr>
        <w:spacing w:line="276" w:lineRule="auto"/>
        <w:jc w:val="center"/>
        <w:rPr>
          <w:rFonts w:ascii="Arial" w:eastAsia="Arial" w:hAnsi="Arial" w:cs="Arial"/>
          <w:b/>
          <w:sz w:val="20"/>
          <w:szCs w:val="20"/>
        </w:rPr>
      </w:pPr>
    </w:p>
    <w:p w14:paraId="00000006" w14:textId="77777777" w:rsidR="003351EF" w:rsidRDefault="00000000">
      <w:pPr>
        <w:widowControl w:val="0"/>
        <w:spacing w:after="120" w:line="276" w:lineRule="auto"/>
        <w:jc w:val="center"/>
        <w:rPr>
          <w:rFonts w:ascii="Arial" w:eastAsia="Arial" w:hAnsi="Arial" w:cs="Arial"/>
          <w:color w:val="000000"/>
          <w:sz w:val="20"/>
          <w:szCs w:val="20"/>
        </w:rPr>
      </w:pPr>
      <w:r>
        <w:rPr>
          <w:rFonts w:ascii="Arial" w:eastAsia="Arial" w:hAnsi="Arial" w:cs="Arial"/>
          <w:color w:val="000000"/>
          <w:sz w:val="20"/>
          <w:szCs w:val="20"/>
        </w:rPr>
        <w:t>concluded on DD/MM/YYYY in Gdynia, between:</w:t>
      </w:r>
    </w:p>
    <w:p w14:paraId="00000007" w14:textId="77777777" w:rsidR="003351EF" w:rsidRDefault="003351EF">
      <w:pPr>
        <w:widowControl w:val="0"/>
        <w:spacing w:after="120" w:line="276" w:lineRule="auto"/>
        <w:jc w:val="both"/>
        <w:rPr>
          <w:rFonts w:ascii="Arial" w:eastAsia="Arial" w:hAnsi="Arial" w:cs="Arial"/>
          <w:color w:val="000000"/>
          <w:sz w:val="20"/>
          <w:szCs w:val="20"/>
        </w:rPr>
      </w:pPr>
    </w:p>
    <w:p w14:paraId="00000008" w14:textId="77777777" w:rsidR="003351EF" w:rsidRDefault="00000000">
      <w:pPr>
        <w:spacing w:line="276" w:lineRule="auto"/>
        <w:rPr>
          <w:rFonts w:ascii="Arial" w:eastAsia="Arial" w:hAnsi="Arial" w:cs="Arial"/>
          <w:sz w:val="20"/>
          <w:szCs w:val="20"/>
        </w:rPr>
      </w:pPr>
      <w:r>
        <w:rPr>
          <w:rFonts w:ascii="Arial" w:eastAsia="Arial" w:hAnsi="Arial" w:cs="Arial"/>
          <w:b/>
          <w:sz w:val="20"/>
          <w:szCs w:val="20"/>
        </w:rPr>
        <w:t>Idego Group sp. z o.o.</w:t>
      </w:r>
      <w:r>
        <w:rPr>
          <w:rFonts w:ascii="Arial" w:eastAsia="Arial" w:hAnsi="Arial" w:cs="Arial"/>
          <w:sz w:val="20"/>
          <w:szCs w:val="20"/>
        </w:rPr>
        <w:t xml:space="preserve"> with its registered office in Gdynia (81-451) in al. Zwycięstwa 96/98, entered into the Register of Entrepreneurs of the National Court Register kept by the District Court for Gdańsk-Północ in Gdańsk, 8th Commercial Division of the National Court Register, under KRS number 0000350282 </w:t>
      </w:r>
      <w:r>
        <w:rPr>
          <w:rFonts w:ascii="Arial" w:eastAsia="Arial" w:hAnsi="Arial" w:cs="Arial"/>
          <w:color w:val="000000"/>
          <w:sz w:val="20"/>
          <w:szCs w:val="20"/>
        </w:rPr>
        <w:t>(National Court Register No)</w:t>
      </w:r>
      <w:r>
        <w:rPr>
          <w:rFonts w:ascii="Arial" w:eastAsia="Arial" w:hAnsi="Arial" w:cs="Arial"/>
          <w:sz w:val="20"/>
          <w:szCs w:val="20"/>
        </w:rPr>
        <w:t xml:space="preserve">, Tax Identification Number (NIP): 5862250789, statistical number (REGON): 220968398, share capital of PLN 30,000.00, represented by: </w:t>
      </w:r>
    </w:p>
    <w:p w14:paraId="00000009" w14:textId="77777777" w:rsidR="003351EF" w:rsidRDefault="003351EF">
      <w:pPr>
        <w:spacing w:line="276" w:lineRule="auto"/>
        <w:rPr>
          <w:rFonts w:ascii="Arial" w:eastAsia="Arial" w:hAnsi="Arial" w:cs="Arial"/>
          <w:sz w:val="20"/>
          <w:szCs w:val="20"/>
        </w:rPr>
      </w:pPr>
    </w:p>
    <w:p w14:paraId="0000000D" w14:textId="77777777" w:rsidR="003351EF" w:rsidRPr="000828FD" w:rsidRDefault="00000000">
      <w:pPr>
        <w:widowControl w:val="0"/>
        <w:spacing w:after="120" w:line="276" w:lineRule="auto"/>
        <w:jc w:val="both"/>
        <w:rPr>
          <w:rFonts w:ascii="Arial" w:eastAsia="Arial" w:hAnsi="Arial" w:cs="Arial"/>
          <w:sz w:val="20"/>
          <w:szCs w:val="20"/>
        </w:rPr>
      </w:pPr>
      <w:r w:rsidRPr="000828FD">
        <w:rPr>
          <w:rFonts w:ascii="Arial" w:eastAsia="Arial" w:hAnsi="Arial" w:cs="Arial"/>
          <w:sz w:val="20"/>
          <w:szCs w:val="20"/>
        </w:rPr>
        <w:t>Maja Augustynek - authorized to represent Idego under the power of attorney dated July 12, 2021 granted by Members of the Management Board of the Company: Krzysztof Gibas and Piotr Groza</w:t>
      </w:r>
    </w:p>
    <w:p w14:paraId="0000000E" w14:textId="77777777" w:rsidR="003351EF" w:rsidRDefault="00000000">
      <w:pPr>
        <w:widowControl w:val="0"/>
        <w:spacing w:after="12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hereinafter referred to as </w:t>
      </w:r>
      <w:r>
        <w:rPr>
          <w:rFonts w:ascii="Arial" w:eastAsia="Arial" w:hAnsi="Arial" w:cs="Arial"/>
          <w:b/>
          <w:color w:val="000000"/>
          <w:sz w:val="20"/>
          <w:szCs w:val="20"/>
        </w:rPr>
        <w:t>Idego</w:t>
      </w:r>
      <w:r>
        <w:rPr>
          <w:rFonts w:ascii="Arial" w:eastAsia="Arial" w:hAnsi="Arial" w:cs="Arial"/>
          <w:color w:val="000000"/>
          <w:sz w:val="20"/>
          <w:szCs w:val="20"/>
        </w:rPr>
        <w:t>,</w:t>
      </w:r>
    </w:p>
    <w:p w14:paraId="0000000F" w14:textId="77777777" w:rsidR="003351EF" w:rsidRDefault="003351EF">
      <w:pPr>
        <w:widowControl w:val="0"/>
        <w:spacing w:after="120" w:line="276" w:lineRule="auto"/>
        <w:jc w:val="both"/>
        <w:rPr>
          <w:rFonts w:ascii="Arial" w:eastAsia="Arial" w:hAnsi="Arial" w:cs="Arial"/>
          <w:sz w:val="20"/>
          <w:szCs w:val="20"/>
        </w:rPr>
      </w:pPr>
    </w:p>
    <w:p w14:paraId="00000010" w14:textId="77777777" w:rsidR="003351EF" w:rsidRDefault="00000000">
      <w:pPr>
        <w:widowControl w:val="0"/>
        <w:spacing w:after="120" w:line="276" w:lineRule="auto"/>
        <w:jc w:val="both"/>
        <w:rPr>
          <w:rFonts w:ascii="Arial" w:eastAsia="Arial" w:hAnsi="Arial" w:cs="Arial"/>
          <w:color w:val="000000"/>
          <w:sz w:val="20"/>
          <w:szCs w:val="20"/>
        </w:rPr>
      </w:pPr>
      <w:r>
        <w:rPr>
          <w:rFonts w:ascii="Arial" w:eastAsia="Arial" w:hAnsi="Arial" w:cs="Arial"/>
          <w:color w:val="000000"/>
          <w:sz w:val="20"/>
          <w:szCs w:val="20"/>
        </w:rPr>
        <w:t>and</w:t>
      </w:r>
    </w:p>
    <w:p w14:paraId="00000011" w14:textId="77777777" w:rsidR="003351EF" w:rsidRDefault="003351EF">
      <w:pPr>
        <w:spacing w:line="276" w:lineRule="auto"/>
        <w:jc w:val="both"/>
        <w:rPr>
          <w:rFonts w:ascii="Arial" w:eastAsia="Arial" w:hAnsi="Arial" w:cs="Arial"/>
          <w:sz w:val="20"/>
          <w:szCs w:val="20"/>
        </w:rPr>
      </w:pPr>
    </w:p>
    <w:p w14:paraId="00000012" w14:textId="77777777" w:rsidR="003351EF" w:rsidRDefault="00000000">
      <w:pPr>
        <w:spacing w:line="276" w:lineRule="auto"/>
        <w:jc w:val="both"/>
        <w:rPr>
          <w:rFonts w:ascii="Arial" w:eastAsia="Arial" w:hAnsi="Arial" w:cs="Arial"/>
          <w:sz w:val="20"/>
          <w:szCs w:val="20"/>
        </w:rPr>
      </w:pPr>
      <w:bookmarkStart w:id="0" w:name="_30j0zll" w:colFirst="0" w:colLast="0"/>
      <w:bookmarkEnd w:id="0"/>
      <w:r>
        <w:rPr>
          <w:rFonts w:ascii="Arial" w:eastAsia="Arial" w:hAnsi="Arial" w:cs="Arial"/>
          <w:sz w:val="20"/>
          <w:szCs w:val="20"/>
        </w:rPr>
        <w:t xml:space="preserve">[xxx] </w:t>
      </w:r>
      <w:r>
        <w:rPr>
          <w:rFonts w:ascii="Arial" w:eastAsia="Arial" w:hAnsi="Arial" w:cs="Arial"/>
          <w:color w:val="000000"/>
          <w:sz w:val="20"/>
          <w:szCs w:val="20"/>
        </w:rPr>
        <w:t>with its registered office in</w:t>
      </w:r>
      <w:r>
        <w:rPr>
          <w:rFonts w:ascii="Arial" w:eastAsia="Arial" w:hAnsi="Arial" w:cs="Arial"/>
          <w:sz w:val="20"/>
          <w:szCs w:val="20"/>
        </w:rPr>
        <w:t xml:space="preserve"> [xxx] ([xxx]) at [xxx], entered in the National Court Register kept by the District Court for [xxx], [xxx] </w:t>
      </w:r>
      <w:r>
        <w:rPr>
          <w:rFonts w:ascii="Arial" w:eastAsia="Arial" w:hAnsi="Arial" w:cs="Arial"/>
          <w:color w:val="000000"/>
          <w:sz w:val="20"/>
          <w:szCs w:val="20"/>
        </w:rPr>
        <w:t>Commercial Division of the National Court Register</w:t>
      </w:r>
      <w:r>
        <w:rPr>
          <w:rFonts w:ascii="Arial" w:eastAsia="Arial" w:hAnsi="Arial" w:cs="Arial"/>
          <w:sz w:val="20"/>
          <w:szCs w:val="20"/>
        </w:rPr>
        <w:t xml:space="preserve">, </w:t>
      </w:r>
      <w:r>
        <w:rPr>
          <w:rFonts w:ascii="Arial" w:eastAsia="Arial" w:hAnsi="Arial" w:cs="Arial"/>
          <w:color w:val="000000"/>
          <w:sz w:val="20"/>
          <w:szCs w:val="20"/>
        </w:rPr>
        <w:t xml:space="preserve">under KRS No. (National Court Register No.): </w:t>
      </w:r>
      <w:r>
        <w:rPr>
          <w:rFonts w:ascii="Arial" w:eastAsia="Arial" w:hAnsi="Arial" w:cs="Arial"/>
          <w:sz w:val="20"/>
          <w:szCs w:val="20"/>
        </w:rPr>
        <w:t xml:space="preserve"> [xxx], </w:t>
      </w:r>
      <w:r>
        <w:rPr>
          <w:rFonts w:ascii="Arial" w:eastAsia="Arial" w:hAnsi="Arial" w:cs="Arial"/>
          <w:color w:val="000000"/>
          <w:sz w:val="20"/>
          <w:szCs w:val="20"/>
        </w:rPr>
        <w:t>having NIP (</w:t>
      </w:r>
      <w:r>
        <w:rPr>
          <w:rFonts w:ascii="Arial" w:eastAsia="Arial" w:hAnsi="Arial" w:cs="Arial"/>
          <w:sz w:val="20"/>
          <w:szCs w:val="20"/>
        </w:rPr>
        <w:t>Tax Identification Number</w:t>
      </w:r>
      <w:r>
        <w:rPr>
          <w:rFonts w:ascii="Arial" w:eastAsia="Arial" w:hAnsi="Arial" w:cs="Arial"/>
          <w:color w:val="000000"/>
          <w:sz w:val="20"/>
          <w:szCs w:val="20"/>
        </w:rPr>
        <w:t>)</w:t>
      </w:r>
      <w:r>
        <w:rPr>
          <w:rFonts w:ascii="Arial" w:eastAsia="Arial" w:hAnsi="Arial" w:cs="Arial"/>
          <w:sz w:val="20"/>
          <w:szCs w:val="20"/>
        </w:rPr>
        <w:t xml:space="preserve">: [xxx], </w:t>
      </w:r>
      <w:r>
        <w:rPr>
          <w:rFonts w:ascii="Arial" w:eastAsia="Arial" w:hAnsi="Arial" w:cs="Arial"/>
          <w:color w:val="000000"/>
          <w:sz w:val="20"/>
          <w:szCs w:val="20"/>
        </w:rPr>
        <w:t xml:space="preserve">having </w:t>
      </w:r>
      <w:r>
        <w:rPr>
          <w:rFonts w:ascii="Arial" w:eastAsia="Arial" w:hAnsi="Arial" w:cs="Arial"/>
          <w:sz w:val="20"/>
          <w:szCs w:val="20"/>
        </w:rPr>
        <w:t xml:space="preserve">statistical number (REGON): [xxx], </w:t>
      </w:r>
      <w:r>
        <w:rPr>
          <w:rFonts w:ascii="Arial" w:eastAsia="Arial" w:hAnsi="Arial" w:cs="Arial"/>
          <w:color w:val="000000"/>
          <w:sz w:val="20"/>
          <w:szCs w:val="20"/>
        </w:rPr>
        <w:t xml:space="preserve">having share capital of </w:t>
      </w:r>
      <w:r>
        <w:rPr>
          <w:rFonts w:ascii="Arial" w:eastAsia="Arial" w:hAnsi="Arial" w:cs="Arial"/>
          <w:sz w:val="20"/>
          <w:szCs w:val="20"/>
        </w:rPr>
        <w:t xml:space="preserve">PLN [xxx],  </w:t>
      </w:r>
      <w:r>
        <w:rPr>
          <w:rFonts w:ascii="Arial" w:eastAsia="Arial" w:hAnsi="Arial" w:cs="Arial"/>
          <w:color w:val="000000"/>
          <w:sz w:val="20"/>
          <w:szCs w:val="20"/>
        </w:rPr>
        <w:t>represented by</w:t>
      </w:r>
      <w:r>
        <w:rPr>
          <w:rFonts w:ascii="Arial" w:eastAsia="Arial" w:hAnsi="Arial" w:cs="Arial"/>
          <w:sz w:val="20"/>
          <w:szCs w:val="20"/>
        </w:rPr>
        <w:t>:</w:t>
      </w:r>
    </w:p>
    <w:p w14:paraId="00000013" w14:textId="77777777" w:rsidR="003351EF" w:rsidRDefault="003351EF">
      <w:pPr>
        <w:spacing w:line="276" w:lineRule="auto"/>
        <w:jc w:val="both"/>
        <w:rPr>
          <w:rFonts w:ascii="Arial" w:eastAsia="Arial" w:hAnsi="Arial" w:cs="Arial"/>
          <w:sz w:val="20"/>
          <w:szCs w:val="20"/>
        </w:rPr>
      </w:pPr>
    </w:p>
    <w:p w14:paraId="00000014" w14:textId="77777777" w:rsidR="003351EF" w:rsidRDefault="00000000">
      <w:pPr>
        <w:spacing w:before="120" w:after="120" w:line="276" w:lineRule="auto"/>
        <w:jc w:val="both"/>
        <w:rPr>
          <w:rFonts w:ascii="Arial" w:eastAsia="Arial" w:hAnsi="Arial" w:cs="Arial"/>
          <w:sz w:val="20"/>
          <w:szCs w:val="20"/>
        </w:rPr>
      </w:pPr>
      <w:r>
        <w:rPr>
          <w:rFonts w:ascii="Arial" w:eastAsia="Arial" w:hAnsi="Arial" w:cs="Arial"/>
          <w:sz w:val="20"/>
          <w:szCs w:val="20"/>
        </w:rPr>
        <w:t>[Full name] – [function]</w:t>
      </w:r>
    </w:p>
    <w:p w14:paraId="00000015" w14:textId="77777777" w:rsidR="003351EF" w:rsidRDefault="00000000">
      <w:pPr>
        <w:spacing w:before="120" w:after="120" w:line="276" w:lineRule="auto"/>
        <w:jc w:val="both"/>
        <w:rPr>
          <w:rFonts w:ascii="Arial" w:eastAsia="Arial" w:hAnsi="Arial" w:cs="Arial"/>
          <w:sz w:val="20"/>
          <w:szCs w:val="20"/>
        </w:rPr>
      </w:pPr>
      <w:r>
        <w:rPr>
          <w:rFonts w:ascii="Arial" w:eastAsia="Arial" w:hAnsi="Arial" w:cs="Arial"/>
          <w:sz w:val="20"/>
          <w:szCs w:val="20"/>
        </w:rPr>
        <w:t>[Full name] – [function]</w:t>
      </w:r>
    </w:p>
    <w:p w14:paraId="00000016" w14:textId="77777777" w:rsidR="003351EF"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hereinafter referred to as </w:t>
      </w:r>
      <w:r>
        <w:rPr>
          <w:rFonts w:ascii="Arial" w:eastAsia="Arial" w:hAnsi="Arial" w:cs="Arial"/>
          <w:b/>
          <w:sz w:val="20"/>
          <w:szCs w:val="20"/>
        </w:rPr>
        <w:t>the Partner</w:t>
      </w:r>
      <w:r>
        <w:rPr>
          <w:rFonts w:ascii="Arial" w:eastAsia="Arial" w:hAnsi="Arial" w:cs="Arial"/>
          <w:sz w:val="20"/>
          <w:szCs w:val="20"/>
        </w:rPr>
        <w:t>,</w:t>
      </w:r>
    </w:p>
    <w:p w14:paraId="00000017" w14:textId="77777777" w:rsidR="003351EF" w:rsidRDefault="003351EF">
      <w:pPr>
        <w:spacing w:line="276" w:lineRule="auto"/>
        <w:jc w:val="both"/>
        <w:rPr>
          <w:rFonts w:ascii="Arial" w:eastAsia="Arial" w:hAnsi="Arial" w:cs="Arial"/>
          <w:sz w:val="20"/>
          <w:szCs w:val="20"/>
        </w:rPr>
      </w:pPr>
    </w:p>
    <w:p w14:paraId="00000018" w14:textId="77777777" w:rsidR="003351EF"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hereinafter referred to collectively as </w:t>
      </w:r>
      <w:r>
        <w:rPr>
          <w:rFonts w:ascii="Arial" w:eastAsia="Arial" w:hAnsi="Arial" w:cs="Arial"/>
          <w:b/>
          <w:sz w:val="20"/>
          <w:szCs w:val="20"/>
        </w:rPr>
        <w:t>the Parties</w:t>
      </w:r>
      <w:r>
        <w:rPr>
          <w:rFonts w:ascii="Arial" w:eastAsia="Arial" w:hAnsi="Arial" w:cs="Arial"/>
          <w:sz w:val="20"/>
          <w:szCs w:val="20"/>
        </w:rPr>
        <w:t xml:space="preserve">, and each as </w:t>
      </w:r>
      <w:r>
        <w:rPr>
          <w:rFonts w:ascii="Arial" w:eastAsia="Arial" w:hAnsi="Arial" w:cs="Arial"/>
          <w:b/>
          <w:sz w:val="20"/>
          <w:szCs w:val="20"/>
        </w:rPr>
        <w:t>a</w:t>
      </w:r>
      <w:r>
        <w:rPr>
          <w:rFonts w:ascii="Arial" w:eastAsia="Arial" w:hAnsi="Arial" w:cs="Arial"/>
          <w:sz w:val="20"/>
          <w:szCs w:val="20"/>
        </w:rPr>
        <w:t xml:space="preserve"> </w:t>
      </w:r>
      <w:r>
        <w:rPr>
          <w:rFonts w:ascii="Arial" w:eastAsia="Arial" w:hAnsi="Arial" w:cs="Arial"/>
          <w:b/>
          <w:sz w:val="20"/>
          <w:szCs w:val="20"/>
        </w:rPr>
        <w:t>Party</w:t>
      </w:r>
      <w:r>
        <w:rPr>
          <w:rFonts w:ascii="Arial" w:eastAsia="Arial" w:hAnsi="Arial" w:cs="Arial"/>
          <w:sz w:val="20"/>
          <w:szCs w:val="20"/>
        </w:rPr>
        <w:t xml:space="preserve"> separately.</w:t>
      </w:r>
    </w:p>
    <w:p w14:paraId="00000019" w14:textId="77777777" w:rsidR="003351EF" w:rsidRDefault="003351EF">
      <w:pPr>
        <w:spacing w:line="276" w:lineRule="auto"/>
        <w:rPr>
          <w:rFonts w:ascii="Arial" w:eastAsia="Arial" w:hAnsi="Arial" w:cs="Arial"/>
          <w:sz w:val="20"/>
          <w:szCs w:val="20"/>
        </w:rPr>
      </w:pPr>
    </w:p>
    <w:p w14:paraId="0000001A" w14:textId="77777777" w:rsidR="003351EF" w:rsidRDefault="003351EF">
      <w:pPr>
        <w:spacing w:line="276" w:lineRule="auto"/>
        <w:rPr>
          <w:rFonts w:ascii="Arial" w:eastAsia="Arial" w:hAnsi="Arial" w:cs="Arial"/>
          <w:sz w:val="20"/>
          <w:szCs w:val="20"/>
        </w:rPr>
      </w:pPr>
    </w:p>
    <w:p w14:paraId="0000001B" w14:textId="77777777" w:rsidR="003351EF" w:rsidRDefault="003351EF">
      <w:pPr>
        <w:spacing w:line="276" w:lineRule="auto"/>
        <w:rPr>
          <w:rFonts w:ascii="Arial" w:eastAsia="Arial" w:hAnsi="Arial" w:cs="Arial"/>
          <w:sz w:val="20"/>
          <w:szCs w:val="20"/>
        </w:rPr>
      </w:pPr>
    </w:p>
    <w:p w14:paraId="0000001C" w14:textId="77777777" w:rsidR="003351EF" w:rsidRDefault="003351EF">
      <w:pPr>
        <w:spacing w:line="276" w:lineRule="auto"/>
        <w:rPr>
          <w:rFonts w:ascii="Arial" w:eastAsia="Arial" w:hAnsi="Arial" w:cs="Arial"/>
          <w:sz w:val="20"/>
          <w:szCs w:val="20"/>
        </w:rPr>
      </w:pPr>
    </w:p>
    <w:p w14:paraId="0000001D" w14:textId="77777777" w:rsidR="003351EF" w:rsidRDefault="00000000">
      <w:pPr>
        <w:spacing w:line="276" w:lineRule="auto"/>
        <w:jc w:val="center"/>
        <w:rPr>
          <w:rFonts w:ascii="Arial" w:eastAsia="Arial" w:hAnsi="Arial" w:cs="Arial"/>
          <w:b/>
          <w:sz w:val="20"/>
          <w:szCs w:val="20"/>
        </w:rPr>
      </w:pPr>
      <w:r>
        <w:rPr>
          <w:rFonts w:ascii="Arial" w:eastAsia="Arial" w:hAnsi="Arial" w:cs="Arial"/>
          <w:b/>
          <w:sz w:val="20"/>
          <w:szCs w:val="20"/>
        </w:rPr>
        <w:t>PREAMBLE</w:t>
      </w:r>
    </w:p>
    <w:p w14:paraId="0000001E" w14:textId="77777777" w:rsidR="003351EF" w:rsidRDefault="003351EF">
      <w:pPr>
        <w:spacing w:line="276" w:lineRule="auto"/>
        <w:rPr>
          <w:rFonts w:ascii="Arial" w:eastAsia="Arial" w:hAnsi="Arial" w:cs="Arial"/>
          <w:sz w:val="20"/>
          <w:szCs w:val="20"/>
        </w:rPr>
      </w:pPr>
    </w:p>
    <w:p w14:paraId="0000001F" w14:textId="77777777" w:rsidR="003351EF" w:rsidRDefault="00000000">
      <w:pPr>
        <w:spacing w:line="276" w:lineRule="auto"/>
        <w:rPr>
          <w:rFonts w:ascii="Arial" w:eastAsia="Arial" w:hAnsi="Arial" w:cs="Arial"/>
          <w:sz w:val="20"/>
          <w:szCs w:val="20"/>
        </w:rPr>
      </w:pPr>
      <w:r>
        <w:rPr>
          <w:rFonts w:ascii="Arial" w:eastAsia="Arial" w:hAnsi="Arial" w:cs="Arial"/>
          <w:sz w:val="20"/>
          <w:szCs w:val="20"/>
        </w:rPr>
        <w:t>Given that:</w:t>
      </w:r>
    </w:p>
    <w:p w14:paraId="00000020" w14:textId="77777777" w:rsidR="003351EF" w:rsidRDefault="003351EF">
      <w:pPr>
        <w:spacing w:line="276" w:lineRule="auto"/>
        <w:rPr>
          <w:rFonts w:ascii="Arial" w:eastAsia="Arial" w:hAnsi="Arial" w:cs="Arial"/>
          <w:sz w:val="20"/>
          <w:szCs w:val="20"/>
        </w:rPr>
      </w:pPr>
    </w:p>
    <w:p w14:paraId="00000021" w14:textId="77777777" w:rsidR="003351EF" w:rsidRDefault="00000000">
      <w:pPr>
        <w:numPr>
          <w:ilvl w:val="0"/>
          <w:numId w:val="5"/>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The Parties are considering the possibility of cooperation on the Project and intend to enter into discussions in this regard;</w:t>
      </w:r>
    </w:p>
    <w:p w14:paraId="00000022" w14:textId="77777777" w:rsidR="003351EF" w:rsidRDefault="00000000">
      <w:pPr>
        <w:numPr>
          <w:ilvl w:val="0"/>
          <w:numId w:val="5"/>
        </w:numPr>
        <w:spacing w:line="276" w:lineRule="auto"/>
        <w:rPr>
          <w:rFonts w:ascii="Arial" w:eastAsia="Arial" w:hAnsi="Arial" w:cs="Arial"/>
          <w:sz w:val="20"/>
          <w:szCs w:val="20"/>
        </w:rPr>
      </w:pPr>
      <w:r>
        <w:rPr>
          <w:rFonts w:ascii="Arial" w:eastAsia="Arial" w:hAnsi="Arial" w:cs="Arial"/>
          <w:sz w:val="20"/>
          <w:szCs w:val="20"/>
        </w:rPr>
        <w:t>in order to negotiate and exchange information on the Partner's business requirements and the terms offered by Idego, the Parties may transfer Confidential Information to each other</w:t>
      </w:r>
    </w:p>
    <w:p w14:paraId="00000023" w14:textId="77777777" w:rsidR="003351EF" w:rsidRDefault="003351EF">
      <w:pPr>
        <w:pBdr>
          <w:top w:val="nil"/>
          <w:left w:val="nil"/>
          <w:bottom w:val="nil"/>
          <w:right w:val="nil"/>
          <w:between w:val="nil"/>
        </w:pBdr>
        <w:spacing w:line="276" w:lineRule="auto"/>
        <w:ind w:left="426"/>
        <w:rPr>
          <w:rFonts w:ascii="Arial" w:eastAsia="Arial" w:hAnsi="Arial" w:cs="Arial"/>
          <w:color w:val="000000"/>
          <w:sz w:val="20"/>
          <w:szCs w:val="20"/>
        </w:rPr>
      </w:pPr>
    </w:p>
    <w:p w14:paraId="00000024" w14:textId="77777777" w:rsidR="003351EF"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The Parties agree to conclude the following Agreement.</w:t>
      </w:r>
    </w:p>
    <w:p w14:paraId="00000025" w14:textId="77777777" w:rsidR="003351EF" w:rsidRDefault="003351EF">
      <w:pPr>
        <w:spacing w:line="276" w:lineRule="auto"/>
        <w:rPr>
          <w:rFonts w:ascii="Arial" w:eastAsia="Arial" w:hAnsi="Arial" w:cs="Arial"/>
          <w:sz w:val="20"/>
          <w:szCs w:val="20"/>
        </w:rPr>
      </w:pPr>
    </w:p>
    <w:p w14:paraId="00000026" w14:textId="77777777" w:rsidR="003351EF" w:rsidRDefault="00000000">
      <w:pPr>
        <w:pBdr>
          <w:top w:val="nil"/>
          <w:left w:val="nil"/>
          <w:bottom w:val="nil"/>
          <w:right w:val="nil"/>
          <w:between w:val="nil"/>
        </w:pBdr>
        <w:spacing w:before="120" w:line="276" w:lineRule="auto"/>
        <w:jc w:val="both"/>
        <w:rPr>
          <w:rFonts w:ascii="Arial" w:eastAsia="Arial" w:hAnsi="Arial" w:cs="Arial"/>
          <w:b/>
          <w:color w:val="000000"/>
          <w:sz w:val="20"/>
          <w:szCs w:val="20"/>
        </w:rPr>
      </w:pPr>
      <w:r>
        <w:rPr>
          <w:rFonts w:ascii="Arial" w:eastAsia="Arial" w:hAnsi="Arial" w:cs="Arial"/>
          <w:b/>
          <w:color w:val="000000"/>
          <w:sz w:val="20"/>
          <w:szCs w:val="20"/>
        </w:rPr>
        <w:t>1. DEFINITIONS</w:t>
      </w:r>
    </w:p>
    <w:p w14:paraId="00000027" w14:textId="77777777" w:rsidR="003351EF" w:rsidRDefault="003351EF">
      <w:pPr>
        <w:pBdr>
          <w:top w:val="nil"/>
          <w:left w:val="nil"/>
          <w:bottom w:val="nil"/>
          <w:right w:val="nil"/>
          <w:between w:val="nil"/>
        </w:pBdr>
        <w:spacing w:line="276" w:lineRule="auto"/>
        <w:ind w:left="993"/>
        <w:jc w:val="both"/>
        <w:rPr>
          <w:rFonts w:ascii="Arial" w:eastAsia="Arial" w:hAnsi="Arial" w:cs="Arial"/>
          <w:b/>
          <w:color w:val="000000"/>
          <w:sz w:val="20"/>
          <w:szCs w:val="20"/>
        </w:rPr>
      </w:pPr>
    </w:p>
    <w:p w14:paraId="00000028" w14:textId="77777777" w:rsidR="003351EF" w:rsidRDefault="00000000">
      <w:p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sz w:val="20"/>
          <w:szCs w:val="20"/>
        </w:rPr>
        <w:t xml:space="preserve">1.1. </w:t>
      </w:r>
      <w:r>
        <w:rPr>
          <w:rFonts w:ascii="Arial" w:eastAsia="Arial" w:hAnsi="Arial" w:cs="Arial"/>
          <w:color w:val="000000"/>
          <w:sz w:val="20"/>
          <w:szCs w:val="20"/>
        </w:rPr>
        <w:t>Whenever capitalized terms are used in the Agreement, the Parties shall give them the following meaning:</w:t>
      </w:r>
    </w:p>
    <w:p w14:paraId="00000029" w14:textId="77777777" w:rsidR="003351EF" w:rsidRDefault="003351EF">
      <w:pPr>
        <w:pBdr>
          <w:top w:val="nil"/>
          <w:left w:val="nil"/>
          <w:bottom w:val="nil"/>
          <w:right w:val="nil"/>
          <w:between w:val="nil"/>
        </w:pBdr>
        <w:spacing w:line="276" w:lineRule="auto"/>
        <w:ind w:left="1365"/>
        <w:jc w:val="both"/>
        <w:rPr>
          <w:rFonts w:ascii="Arial" w:eastAsia="Arial" w:hAnsi="Arial" w:cs="Arial"/>
          <w:color w:val="000000"/>
          <w:sz w:val="20"/>
          <w:szCs w:val="20"/>
        </w:rPr>
      </w:pPr>
    </w:p>
    <w:p w14:paraId="0000002A" w14:textId="77777777" w:rsidR="003351EF" w:rsidRDefault="00000000">
      <w:pPr>
        <w:numPr>
          <w:ilvl w:val="0"/>
          <w:numId w:val="2"/>
        </w:num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b/>
          <w:color w:val="000000"/>
          <w:sz w:val="20"/>
          <w:szCs w:val="20"/>
        </w:rPr>
        <w:t>Confidential Information</w:t>
      </w:r>
      <w:r>
        <w:rPr>
          <w:rFonts w:ascii="Arial" w:eastAsia="Arial" w:hAnsi="Arial" w:cs="Arial"/>
          <w:color w:val="000000"/>
          <w:sz w:val="20"/>
          <w:szCs w:val="20"/>
        </w:rPr>
        <w:t xml:space="preserve"> - data, information or materials relating to the activities of the Party and third parties cooperating with the Party (including its clients), which were held by the other Party in connection with the performance of the Agreement. Confidential Information is, in particular, information of technical and technological, marketing, commercial, financial and organizational nature, information concerning plans and projects, regardless of whether it was provided on a confidential basis. Confidential information also includes other data, information or materials, provided to the Party on a confidential basis;</w:t>
      </w:r>
    </w:p>
    <w:p w14:paraId="0000002D" w14:textId="15B5E84F" w:rsidR="003351EF" w:rsidRDefault="00000000">
      <w:pPr>
        <w:numPr>
          <w:ilvl w:val="0"/>
          <w:numId w:val="2"/>
        </w:numPr>
        <w:pBdr>
          <w:top w:val="nil"/>
          <w:left w:val="nil"/>
          <w:bottom w:val="nil"/>
          <w:right w:val="nil"/>
          <w:between w:val="nil"/>
        </w:pBdr>
        <w:spacing w:line="276" w:lineRule="auto"/>
        <w:jc w:val="both"/>
        <w:rPr>
          <w:color w:val="000000"/>
          <w:sz w:val="20"/>
          <w:szCs w:val="20"/>
        </w:rPr>
      </w:pPr>
      <w:r>
        <w:rPr>
          <w:rFonts w:ascii="Arial" w:eastAsia="Arial" w:hAnsi="Arial" w:cs="Arial"/>
          <w:b/>
          <w:color w:val="000000"/>
          <w:sz w:val="20"/>
          <w:szCs w:val="20"/>
        </w:rPr>
        <w:t>Project</w:t>
      </w:r>
      <w:r>
        <w:rPr>
          <w:rFonts w:ascii="Arial" w:eastAsia="Arial" w:hAnsi="Arial" w:cs="Arial"/>
          <w:color w:val="000000"/>
          <w:sz w:val="20"/>
          <w:szCs w:val="20"/>
        </w:rPr>
        <w:t xml:space="preserve"> - a project consisting in the cooperation of the Parties in the scope of works performed by Idego for the Partner, the implementation of which may take place in the event of a decision to cooperate. In such a case, a Specific Agreement shall be concluded;</w:t>
      </w:r>
    </w:p>
    <w:p w14:paraId="0000002E" w14:textId="77777777" w:rsidR="003351EF" w:rsidRDefault="00000000">
      <w:pPr>
        <w:numPr>
          <w:ilvl w:val="0"/>
          <w:numId w:val="2"/>
        </w:numPr>
        <w:pBdr>
          <w:top w:val="nil"/>
          <w:left w:val="nil"/>
          <w:bottom w:val="nil"/>
          <w:right w:val="nil"/>
          <w:between w:val="nil"/>
        </w:pBdr>
        <w:spacing w:line="276" w:lineRule="auto"/>
        <w:jc w:val="both"/>
        <w:rPr>
          <w:color w:val="000000"/>
          <w:sz w:val="20"/>
          <w:szCs w:val="20"/>
        </w:rPr>
      </w:pPr>
      <w:r>
        <w:rPr>
          <w:rFonts w:ascii="Arial" w:eastAsia="Arial" w:hAnsi="Arial" w:cs="Arial"/>
          <w:b/>
          <w:color w:val="000000"/>
          <w:sz w:val="20"/>
          <w:szCs w:val="20"/>
        </w:rPr>
        <w:t>Receiving Party</w:t>
      </w:r>
      <w:r>
        <w:rPr>
          <w:rFonts w:ascii="Arial" w:eastAsia="Arial" w:hAnsi="Arial" w:cs="Arial"/>
          <w:color w:val="000000"/>
          <w:sz w:val="20"/>
          <w:szCs w:val="20"/>
        </w:rPr>
        <w:t xml:space="preserve"> - the Party receiving or obtaining Confidential Information from the other Party;</w:t>
      </w:r>
    </w:p>
    <w:p w14:paraId="0000002F" w14:textId="77777777" w:rsidR="003351EF" w:rsidRDefault="00000000">
      <w:pPr>
        <w:numPr>
          <w:ilvl w:val="0"/>
          <w:numId w:val="2"/>
        </w:numPr>
        <w:pBdr>
          <w:top w:val="nil"/>
          <w:left w:val="nil"/>
          <w:bottom w:val="nil"/>
          <w:right w:val="nil"/>
          <w:between w:val="nil"/>
        </w:pBdr>
        <w:spacing w:line="276" w:lineRule="auto"/>
        <w:jc w:val="both"/>
        <w:rPr>
          <w:color w:val="000000"/>
          <w:sz w:val="20"/>
          <w:szCs w:val="20"/>
        </w:rPr>
      </w:pPr>
      <w:r>
        <w:rPr>
          <w:rFonts w:ascii="Arial" w:eastAsia="Arial" w:hAnsi="Arial" w:cs="Arial"/>
          <w:b/>
          <w:color w:val="000000"/>
          <w:sz w:val="20"/>
          <w:szCs w:val="20"/>
        </w:rPr>
        <w:t>Disclosing Party</w:t>
      </w:r>
      <w:r>
        <w:rPr>
          <w:rFonts w:ascii="Arial" w:eastAsia="Arial" w:hAnsi="Arial" w:cs="Arial"/>
          <w:color w:val="000000"/>
          <w:sz w:val="20"/>
          <w:szCs w:val="20"/>
        </w:rPr>
        <w:t xml:space="preserve"> - the Party that discloses Confidential Information or whose Confidential Information is acquired;</w:t>
      </w:r>
    </w:p>
    <w:p w14:paraId="00000030" w14:textId="77777777" w:rsidR="003351EF" w:rsidRDefault="00000000">
      <w:pPr>
        <w:numPr>
          <w:ilvl w:val="0"/>
          <w:numId w:val="2"/>
        </w:numPr>
        <w:pBdr>
          <w:top w:val="nil"/>
          <w:left w:val="nil"/>
          <w:bottom w:val="nil"/>
          <w:right w:val="nil"/>
          <w:between w:val="nil"/>
        </w:pBdr>
        <w:spacing w:after="120" w:line="276" w:lineRule="auto"/>
        <w:jc w:val="both"/>
        <w:rPr>
          <w:b/>
          <w:color w:val="000000"/>
          <w:sz w:val="20"/>
          <w:szCs w:val="20"/>
        </w:rPr>
      </w:pPr>
      <w:r>
        <w:rPr>
          <w:rFonts w:ascii="Arial" w:eastAsia="Arial" w:hAnsi="Arial" w:cs="Arial"/>
          <w:b/>
          <w:color w:val="000000"/>
          <w:sz w:val="20"/>
          <w:szCs w:val="20"/>
        </w:rPr>
        <w:t>Specific Agreement</w:t>
      </w:r>
      <w:r>
        <w:rPr>
          <w:rFonts w:ascii="Arial" w:eastAsia="Arial" w:hAnsi="Arial" w:cs="Arial"/>
          <w:color w:val="000000"/>
          <w:sz w:val="20"/>
          <w:szCs w:val="20"/>
        </w:rPr>
        <w:t xml:space="preserve"> - an agreement that will be concluded by the Parties in case of a decision on cooperation regarding the Project.</w:t>
      </w:r>
    </w:p>
    <w:p w14:paraId="00000031" w14:textId="77777777" w:rsidR="003351EF" w:rsidRDefault="003351EF">
      <w:pPr>
        <w:spacing w:before="120" w:after="120" w:line="276" w:lineRule="auto"/>
        <w:jc w:val="both"/>
        <w:rPr>
          <w:rFonts w:ascii="Arial" w:eastAsia="Arial" w:hAnsi="Arial" w:cs="Arial"/>
          <w:b/>
          <w:sz w:val="20"/>
          <w:szCs w:val="20"/>
        </w:rPr>
      </w:pPr>
    </w:p>
    <w:p w14:paraId="00000032" w14:textId="77777777" w:rsidR="003351EF" w:rsidRDefault="00000000">
      <w:pPr>
        <w:spacing w:before="120" w:after="120" w:line="276" w:lineRule="auto"/>
        <w:jc w:val="both"/>
        <w:rPr>
          <w:rFonts w:ascii="Arial" w:eastAsia="Arial" w:hAnsi="Arial" w:cs="Arial"/>
          <w:b/>
          <w:sz w:val="20"/>
          <w:szCs w:val="20"/>
        </w:rPr>
      </w:pPr>
      <w:r>
        <w:rPr>
          <w:rFonts w:ascii="Arial" w:eastAsia="Arial" w:hAnsi="Arial" w:cs="Arial"/>
          <w:b/>
          <w:sz w:val="20"/>
          <w:szCs w:val="20"/>
        </w:rPr>
        <w:t>2. COMMITMENTS AND POWERS OF THE PARTIES</w:t>
      </w:r>
    </w:p>
    <w:p w14:paraId="00000033" w14:textId="77777777" w:rsidR="003351EF" w:rsidRDefault="00000000">
      <w:pPr>
        <w:spacing w:before="120" w:after="120" w:line="276" w:lineRule="auto"/>
        <w:jc w:val="both"/>
        <w:rPr>
          <w:rFonts w:ascii="Arial" w:eastAsia="Arial" w:hAnsi="Arial" w:cs="Arial"/>
          <w:sz w:val="20"/>
          <w:szCs w:val="20"/>
        </w:rPr>
      </w:pPr>
      <w:r>
        <w:rPr>
          <w:rFonts w:ascii="Arial" w:eastAsia="Arial" w:hAnsi="Arial" w:cs="Arial"/>
          <w:sz w:val="20"/>
          <w:szCs w:val="20"/>
        </w:rPr>
        <w:t>2.1 If Confidential Information is acquired in relation to the Disclosing Party, the Receiving Party shall, within three (3) years of each acquisition of Confidential Information, undertakes:</w:t>
      </w:r>
    </w:p>
    <w:p w14:paraId="00000034" w14:textId="77777777" w:rsidR="003351EF" w:rsidRDefault="00000000">
      <w:pPr>
        <w:numPr>
          <w:ilvl w:val="0"/>
          <w:numId w:val="1"/>
        </w:numPr>
        <w:pBdr>
          <w:top w:val="nil"/>
          <w:left w:val="nil"/>
          <w:bottom w:val="nil"/>
          <w:right w:val="nil"/>
          <w:between w:val="nil"/>
        </w:pBdr>
        <w:spacing w:before="120" w:line="276" w:lineRule="auto"/>
        <w:jc w:val="both"/>
        <w:rPr>
          <w:rFonts w:ascii="Arial" w:eastAsia="Arial" w:hAnsi="Arial" w:cs="Arial"/>
          <w:color w:val="000000"/>
          <w:sz w:val="20"/>
          <w:szCs w:val="20"/>
        </w:rPr>
      </w:pPr>
      <w:r>
        <w:rPr>
          <w:rFonts w:ascii="Arial" w:eastAsia="Arial" w:hAnsi="Arial" w:cs="Arial"/>
          <w:color w:val="000000"/>
          <w:sz w:val="20"/>
          <w:szCs w:val="20"/>
        </w:rPr>
        <w:t>not to use Confidential Information for purposes other than those of the NDA;</w:t>
      </w:r>
    </w:p>
    <w:p w14:paraId="00000035" w14:textId="77777777" w:rsidR="003351EF" w:rsidRDefault="00000000">
      <w:pPr>
        <w:numPr>
          <w:ilvl w:val="0"/>
          <w:numId w:val="1"/>
        </w:num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not to reproduce Confidential Information more widely than is apparent from the objective and actions set out in the Preamble;</w:t>
      </w:r>
    </w:p>
    <w:p w14:paraId="00000036" w14:textId="77777777" w:rsidR="003351EF" w:rsidRDefault="00000000">
      <w:pPr>
        <w:numPr>
          <w:ilvl w:val="0"/>
          <w:numId w:val="1"/>
        </w:num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not to transmit or disclose any Confidential Information to any third party without the explicit prior written consent of the Disclosing Party, otherwise it shall be null and void. For the avoidance of doubt, the Parties acknowledge that members of the Personnel are not third parties within the meaning of this provision;</w:t>
      </w:r>
    </w:p>
    <w:p w14:paraId="00000037" w14:textId="77777777" w:rsidR="003351EF" w:rsidRDefault="00000000">
      <w:pPr>
        <w:numPr>
          <w:ilvl w:val="0"/>
          <w:numId w:val="1"/>
        </w:num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inform its Personnel of the confidential nature of the Confidential Information at the latest when such Confidential Information is disclosed to them;</w:t>
      </w:r>
    </w:p>
    <w:p w14:paraId="00000038" w14:textId="77777777" w:rsidR="003351EF" w:rsidRDefault="00000000">
      <w:pPr>
        <w:numPr>
          <w:ilvl w:val="0"/>
          <w:numId w:val="1"/>
        </w:num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impose an obligation of confidentiality on members of its Personnel at least under the terms of the NDA, unless they have previously been required by that Party to maintain confidentiality at least to the extent required by the NDA, or unless such an obligation arises from relevant legislation;</w:t>
      </w:r>
    </w:p>
    <w:p w14:paraId="00000039" w14:textId="77777777" w:rsidR="003351EF" w:rsidRDefault="00000000">
      <w:pPr>
        <w:numPr>
          <w:ilvl w:val="0"/>
          <w:numId w:val="1"/>
        </w:numPr>
        <w:pBdr>
          <w:top w:val="nil"/>
          <w:left w:val="nil"/>
          <w:bottom w:val="nil"/>
          <w:right w:val="nil"/>
          <w:between w:val="nil"/>
        </w:pBdr>
        <w:spacing w:after="120" w:line="276" w:lineRule="auto"/>
        <w:jc w:val="both"/>
        <w:rPr>
          <w:rFonts w:ascii="Arial" w:eastAsia="Arial" w:hAnsi="Arial" w:cs="Arial"/>
          <w:color w:val="000000"/>
          <w:sz w:val="20"/>
          <w:szCs w:val="20"/>
        </w:rPr>
      </w:pPr>
      <w:r>
        <w:rPr>
          <w:rFonts w:ascii="Arial" w:eastAsia="Arial" w:hAnsi="Arial" w:cs="Arial"/>
          <w:color w:val="000000"/>
          <w:sz w:val="20"/>
          <w:szCs w:val="20"/>
        </w:rPr>
        <w:t>exercise due diligence to ensure measures guaranteeing the degree of protection of Confidential Information necessary to maintain its confidential nature, at least to the extent and in the manner in which that Party protects its own Confidential Information, and in any event at no less than reasonable level of precaution.</w:t>
      </w:r>
    </w:p>
    <w:p w14:paraId="0000003A" w14:textId="77777777" w:rsidR="003351EF" w:rsidRDefault="00000000">
      <w:pPr>
        <w:spacing w:before="120" w:after="120" w:line="276" w:lineRule="auto"/>
        <w:jc w:val="both"/>
        <w:rPr>
          <w:rFonts w:ascii="Arial" w:eastAsia="Arial" w:hAnsi="Arial" w:cs="Arial"/>
          <w:sz w:val="20"/>
          <w:szCs w:val="20"/>
        </w:rPr>
      </w:pPr>
      <w:r>
        <w:rPr>
          <w:rFonts w:ascii="Arial" w:eastAsia="Arial" w:hAnsi="Arial" w:cs="Arial"/>
          <w:sz w:val="20"/>
          <w:szCs w:val="20"/>
        </w:rPr>
        <w:t>2.2 The commitment to maintain the confidentiality of Confidential Information under the NDA also covers information acquired in connection with the Project prior to the date of the NDA.</w:t>
      </w:r>
    </w:p>
    <w:p w14:paraId="0000003B" w14:textId="77777777" w:rsidR="003351EF" w:rsidRDefault="00000000">
      <w:pPr>
        <w:spacing w:before="120" w:after="120" w:line="276" w:lineRule="auto"/>
        <w:jc w:val="both"/>
        <w:rPr>
          <w:rFonts w:ascii="Arial" w:eastAsia="Arial" w:hAnsi="Arial" w:cs="Arial"/>
          <w:sz w:val="20"/>
          <w:szCs w:val="20"/>
        </w:rPr>
      </w:pPr>
      <w:r>
        <w:rPr>
          <w:rFonts w:ascii="Arial" w:eastAsia="Arial" w:hAnsi="Arial" w:cs="Arial"/>
          <w:sz w:val="20"/>
          <w:szCs w:val="20"/>
        </w:rPr>
        <w:t>2.3 The Parties should mark Confidential Information in a way that indicates its confidential nature. The absence of such marking does not, however, release the Party from the obligation to keep the Confidential Information confidential in accordance with the NDA.</w:t>
      </w:r>
    </w:p>
    <w:p w14:paraId="0000003C" w14:textId="77777777" w:rsidR="003351EF" w:rsidRDefault="00000000">
      <w:pPr>
        <w:spacing w:before="120" w:after="120" w:line="276" w:lineRule="auto"/>
        <w:jc w:val="both"/>
        <w:rPr>
          <w:rFonts w:ascii="Arial" w:eastAsia="Arial" w:hAnsi="Arial" w:cs="Arial"/>
          <w:sz w:val="20"/>
          <w:szCs w:val="20"/>
        </w:rPr>
      </w:pPr>
      <w:r>
        <w:rPr>
          <w:rFonts w:ascii="Arial" w:eastAsia="Arial" w:hAnsi="Arial" w:cs="Arial"/>
          <w:sz w:val="20"/>
          <w:szCs w:val="20"/>
        </w:rPr>
        <w:t>2.4 The provisions of the NDA do not preclude further protection of Confidential Information as provided for in generally applicable regulations, in particular in the area of business confidentiality.</w:t>
      </w:r>
    </w:p>
    <w:p w14:paraId="0000003D" w14:textId="77777777" w:rsidR="003351EF" w:rsidRDefault="00000000">
      <w:pPr>
        <w:spacing w:before="120" w:after="120" w:line="276" w:lineRule="auto"/>
        <w:jc w:val="both"/>
        <w:rPr>
          <w:rFonts w:ascii="Arial" w:eastAsia="Arial" w:hAnsi="Arial" w:cs="Arial"/>
          <w:sz w:val="20"/>
          <w:szCs w:val="20"/>
        </w:rPr>
      </w:pPr>
      <w:r>
        <w:rPr>
          <w:rFonts w:ascii="Arial" w:eastAsia="Arial" w:hAnsi="Arial" w:cs="Arial"/>
          <w:sz w:val="20"/>
          <w:szCs w:val="20"/>
        </w:rPr>
        <w:t>2.5. The obligation to maintain the confidentiality of Confidential Information does not apply to situations where:</w:t>
      </w:r>
    </w:p>
    <w:p w14:paraId="0000003E" w14:textId="77777777" w:rsidR="003351EF" w:rsidRDefault="00000000">
      <w:pPr>
        <w:numPr>
          <w:ilvl w:val="0"/>
          <w:numId w:val="3"/>
        </w:numPr>
        <w:pBdr>
          <w:top w:val="nil"/>
          <w:left w:val="nil"/>
          <w:bottom w:val="nil"/>
          <w:right w:val="nil"/>
          <w:between w:val="nil"/>
        </w:pBdr>
        <w:spacing w:before="120" w:line="276" w:lineRule="auto"/>
        <w:jc w:val="both"/>
        <w:rPr>
          <w:rFonts w:ascii="Arial" w:eastAsia="Arial" w:hAnsi="Arial" w:cs="Arial"/>
          <w:color w:val="000000"/>
          <w:sz w:val="20"/>
          <w:szCs w:val="20"/>
        </w:rPr>
      </w:pPr>
      <w:r>
        <w:rPr>
          <w:rFonts w:ascii="Arial" w:eastAsia="Arial" w:hAnsi="Arial" w:cs="Arial"/>
          <w:color w:val="000000"/>
          <w:sz w:val="20"/>
          <w:szCs w:val="20"/>
        </w:rPr>
        <w:lastRenderedPageBreak/>
        <w:t>Confidential Information must be disclosed pursuant to mandatory laws or administrative decisions, or which disclosure is necessary to institute or pursue legal proceedings, provided that the Receiving Party shall inform the Disclosing Party of such circumstances without delay, if possible before the Confidential Information is disclosed;</w:t>
      </w:r>
    </w:p>
    <w:p w14:paraId="0000003F" w14:textId="77777777" w:rsidR="003351EF" w:rsidRDefault="00000000">
      <w:pPr>
        <w:numPr>
          <w:ilvl w:val="0"/>
          <w:numId w:val="3"/>
        </w:num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Confidential Information has been made publicly available without any breach of the NDA or is known to the public at the time of its disclosure; unless it has become known to the public as a result of a breach of law or breach by the Receiving Party of its obligations under the NDA or any other contractual relationship;</w:t>
      </w:r>
    </w:p>
    <w:p w14:paraId="00000040" w14:textId="77777777" w:rsidR="003351EF" w:rsidRDefault="00000000">
      <w:pPr>
        <w:numPr>
          <w:ilvl w:val="0"/>
          <w:numId w:val="3"/>
        </w:num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Confidential Information has been obtained by the Receiving Party from a third party unless the Receiving Party knows or ought to know that the Confidential Information was unlawfully obtained or that the person has no right to disclose that Confidential Information;</w:t>
      </w:r>
    </w:p>
    <w:p w14:paraId="00000041" w14:textId="77777777" w:rsidR="003351EF" w:rsidRDefault="00000000">
      <w:pPr>
        <w:numPr>
          <w:ilvl w:val="0"/>
          <w:numId w:val="3"/>
        </w:num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The Confidential Information at the time it was disclosed to a third party or used by the Receiving Party was known to the Receiving Party without any breach of law in circumstances other than those described above;</w:t>
      </w:r>
    </w:p>
    <w:p w14:paraId="00000042" w14:textId="77777777" w:rsidR="003351EF" w:rsidRDefault="00000000">
      <w:pPr>
        <w:numPr>
          <w:ilvl w:val="0"/>
          <w:numId w:val="3"/>
        </w:numPr>
        <w:pBdr>
          <w:top w:val="nil"/>
          <w:left w:val="nil"/>
          <w:bottom w:val="nil"/>
          <w:right w:val="nil"/>
          <w:between w:val="nil"/>
        </w:pBdr>
        <w:spacing w:after="120" w:line="276" w:lineRule="auto"/>
        <w:jc w:val="both"/>
        <w:rPr>
          <w:rFonts w:ascii="Arial" w:eastAsia="Arial" w:hAnsi="Arial" w:cs="Arial"/>
          <w:color w:val="000000"/>
          <w:sz w:val="20"/>
          <w:szCs w:val="20"/>
        </w:rPr>
      </w:pPr>
      <w:r>
        <w:rPr>
          <w:rFonts w:ascii="Arial" w:eastAsia="Arial" w:hAnsi="Arial" w:cs="Arial"/>
          <w:color w:val="000000"/>
          <w:sz w:val="20"/>
          <w:szCs w:val="20"/>
        </w:rPr>
        <w:t>The information was compiled by the Receiving Party itself, without access to or use of the Disclosing Party's Confidential Information.</w:t>
      </w:r>
    </w:p>
    <w:p w14:paraId="00000043" w14:textId="77777777" w:rsidR="003351EF" w:rsidRDefault="00000000">
      <w:pPr>
        <w:spacing w:before="120" w:after="120" w:line="276" w:lineRule="auto"/>
        <w:jc w:val="both"/>
        <w:rPr>
          <w:rFonts w:ascii="Arial" w:eastAsia="Arial" w:hAnsi="Arial" w:cs="Arial"/>
          <w:sz w:val="20"/>
          <w:szCs w:val="20"/>
        </w:rPr>
      </w:pPr>
      <w:r>
        <w:rPr>
          <w:rFonts w:ascii="Arial" w:eastAsia="Arial" w:hAnsi="Arial" w:cs="Arial"/>
          <w:sz w:val="20"/>
          <w:szCs w:val="20"/>
        </w:rPr>
        <w:t>2.6 The Receiving Party agrees to immediately destroy all material containing Confidential Information or remove it from its electronic resources and media:</w:t>
      </w:r>
    </w:p>
    <w:p w14:paraId="00000044" w14:textId="77777777" w:rsidR="003351EF" w:rsidRDefault="00000000">
      <w:pPr>
        <w:numPr>
          <w:ilvl w:val="0"/>
          <w:numId w:val="4"/>
        </w:numPr>
        <w:pBdr>
          <w:top w:val="nil"/>
          <w:left w:val="nil"/>
          <w:bottom w:val="nil"/>
          <w:right w:val="nil"/>
          <w:between w:val="nil"/>
        </w:pBdr>
        <w:spacing w:before="120" w:line="276" w:lineRule="auto"/>
        <w:jc w:val="both"/>
        <w:rPr>
          <w:rFonts w:ascii="Arial" w:eastAsia="Arial" w:hAnsi="Arial" w:cs="Arial"/>
          <w:color w:val="000000"/>
          <w:sz w:val="20"/>
          <w:szCs w:val="20"/>
        </w:rPr>
      </w:pPr>
      <w:r>
        <w:rPr>
          <w:rFonts w:ascii="Arial" w:eastAsia="Arial" w:hAnsi="Arial" w:cs="Arial"/>
          <w:color w:val="000000"/>
          <w:sz w:val="20"/>
          <w:szCs w:val="20"/>
        </w:rPr>
        <w:t>at each written request of the Disclosing Party;</w:t>
      </w:r>
    </w:p>
    <w:p w14:paraId="00000045" w14:textId="77777777" w:rsidR="003351EF" w:rsidRDefault="00000000">
      <w:pPr>
        <w:numPr>
          <w:ilvl w:val="0"/>
          <w:numId w:val="4"/>
        </w:num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in the event of a decision not to implement the Project; </w:t>
      </w:r>
    </w:p>
    <w:p w14:paraId="00000046" w14:textId="77777777" w:rsidR="003351EF" w:rsidRDefault="00000000">
      <w:pPr>
        <w:numPr>
          <w:ilvl w:val="0"/>
          <w:numId w:val="4"/>
        </w:numPr>
        <w:pBdr>
          <w:top w:val="nil"/>
          <w:left w:val="nil"/>
          <w:bottom w:val="nil"/>
          <w:right w:val="nil"/>
          <w:between w:val="nil"/>
        </w:pBdr>
        <w:spacing w:after="120" w:line="276" w:lineRule="auto"/>
        <w:jc w:val="both"/>
        <w:rPr>
          <w:rFonts w:ascii="Arial" w:eastAsia="Arial" w:hAnsi="Arial" w:cs="Arial"/>
          <w:color w:val="000000"/>
          <w:sz w:val="20"/>
          <w:szCs w:val="20"/>
        </w:rPr>
      </w:pPr>
      <w:r>
        <w:rPr>
          <w:rFonts w:ascii="Arial" w:eastAsia="Arial" w:hAnsi="Arial" w:cs="Arial"/>
          <w:color w:val="000000"/>
          <w:sz w:val="20"/>
          <w:szCs w:val="20"/>
        </w:rPr>
        <w:t>in case of termination of cooperation under the Specific Agreement,</w:t>
      </w:r>
    </w:p>
    <w:p w14:paraId="00000047" w14:textId="77777777" w:rsidR="003351EF" w:rsidRDefault="00000000">
      <w:pPr>
        <w:spacing w:before="120" w:after="120" w:line="276" w:lineRule="auto"/>
        <w:jc w:val="both"/>
        <w:rPr>
          <w:rFonts w:ascii="Arial" w:eastAsia="Arial" w:hAnsi="Arial" w:cs="Arial"/>
          <w:sz w:val="20"/>
          <w:szCs w:val="20"/>
        </w:rPr>
      </w:pPr>
      <w:r>
        <w:rPr>
          <w:rFonts w:ascii="Arial" w:eastAsia="Arial" w:hAnsi="Arial" w:cs="Arial"/>
          <w:sz w:val="20"/>
          <w:szCs w:val="20"/>
        </w:rPr>
        <w:t>however, this does not apply to Confidential Information, which must be kept by the Party in accordance with applicable laws.</w:t>
      </w:r>
    </w:p>
    <w:p w14:paraId="00000048" w14:textId="77777777" w:rsidR="003351EF" w:rsidRDefault="00000000">
      <w:pPr>
        <w:spacing w:before="120" w:after="120" w:line="276" w:lineRule="auto"/>
        <w:jc w:val="both"/>
        <w:rPr>
          <w:rFonts w:ascii="Arial" w:eastAsia="Arial" w:hAnsi="Arial" w:cs="Arial"/>
          <w:sz w:val="20"/>
          <w:szCs w:val="20"/>
        </w:rPr>
      </w:pPr>
      <w:r>
        <w:rPr>
          <w:rFonts w:ascii="Arial" w:eastAsia="Arial" w:hAnsi="Arial" w:cs="Arial"/>
          <w:sz w:val="20"/>
          <w:szCs w:val="20"/>
        </w:rPr>
        <w:t>2.7 Disclosure of Confidential Information to the Receiving Party by the Disclosing Party does not imply granting the Receiving Party any rights to use this information, except as expressly granted in the NDA, the Specific Agreement or any other agreement entered into by the Parties. In particular, disclosure of Confidential Information may not be construed in any way as granting an explicit or implicit license to any intellectual property right.</w:t>
      </w:r>
    </w:p>
    <w:p w14:paraId="00000049" w14:textId="77777777" w:rsidR="003351EF" w:rsidRDefault="00000000">
      <w:pPr>
        <w:spacing w:before="120" w:after="120" w:line="276" w:lineRule="auto"/>
        <w:jc w:val="both"/>
        <w:rPr>
          <w:rFonts w:ascii="Arial" w:eastAsia="Arial" w:hAnsi="Arial" w:cs="Arial"/>
          <w:sz w:val="20"/>
          <w:szCs w:val="20"/>
        </w:rPr>
      </w:pPr>
      <w:r>
        <w:rPr>
          <w:rFonts w:ascii="Arial" w:eastAsia="Arial" w:hAnsi="Arial" w:cs="Arial"/>
          <w:sz w:val="20"/>
          <w:szCs w:val="20"/>
        </w:rPr>
        <w:t>2.8. No provision of the NDA or implementation thereof shall constitute an obligation for either Party to enter into economic relations with regard to the Project. In particular, neither Party is restricted in its ability to cooperate with third parties.</w:t>
      </w:r>
    </w:p>
    <w:p w14:paraId="0000004C" w14:textId="751E1738" w:rsidR="003351EF" w:rsidRDefault="00000000" w:rsidP="000828FD">
      <w:pPr>
        <w:spacing w:before="120" w:after="120" w:line="276" w:lineRule="auto"/>
        <w:jc w:val="both"/>
        <w:rPr>
          <w:rFonts w:ascii="Arial" w:eastAsia="Arial" w:hAnsi="Arial" w:cs="Arial"/>
          <w:sz w:val="20"/>
          <w:szCs w:val="20"/>
        </w:rPr>
      </w:pPr>
      <w:r>
        <w:rPr>
          <w:rFonts w:ascii="Arial" w:eastAsia="Arial" w:hAnsi="Arial" w:cs="Arial"/>
          <w:sz w:val="20"/>
          <w:szCs w:val="20"/>
        </w:rPr>
        <w:t>2.9 The Parties shall be liable for violations of the NDA only to the extent of actual damage.</w:t>
      </w:r>
    </w:p>
    <w:p w14:paraId="0000004D" w14:textId="77777777" w:rsidR="003351EF" w:rsidRDefault="003351EF">
      <w:pPr>
        <w:spacing w:before="120" w:after="120" w:line="276" w:lineRule="auto"/>
        <w:jc w:val="both"/>
        <w:rPr>
          <w:rFonts w:ascii="Arial" w:eastAsia="Arial" w:hAnsi="Arial" w:cs="Arial"/>
          <w:sz w:val="20"/>
          <w:szCs w:val="20"/>
        </w:rPr>
      </w:pPr>
    </w:p>
    <w:p w14:paraId="0000004E" w14:textId="77777777" w:rsidR="003351EF" w:rsidRDefault="00000000">
      <w:pPr>
        <w:spacing w:before="120" w:after="120" w:line="276" w:lineRule="auto"/>
        <w:jc w:val="both"/>
        <w:rPr>
          <w:rFonts w:ascii="Arial" w:eastAsia="Arial" w:hAnsi="Arial" w:cs="Arial"/>
          <w:b/>
          <w:sz w:val="20"/>
          <w:szCs w:val="20"/>
        </w:rPr>
      </w:pPr>
      <w:r>
        <w:rPr>
          <w:rFonts w:ascii="Arial" w:eastAsia="Arial" w:hAnsi="Arial" w:cs="Arial"/>
          <w:b/>
          <w:sz w:val="20"/>
          <w:szCs w:val="20"/>
        </w:rPr>
        <w:t>3. FINAL PROVISIONS</w:t>
      </w:r>
    </w:p>
    <w:p w14:paraId="0000004F" w14:textId="77777777" w:rsidR="003351EF" w:rsidRDefault="00000000">
      <w:pPr>
        <w:spacing w:before="120" w:after="120" w:line="276" w:lineRule="auto"/>
        <w:jc w:val="both"/>
        <w:rPr>
          <w:rFonts w:ascii="Arial" w:eastAsia="Arial" w:hAnsi="Arial" w:cs="Arial"/>
          <w:sz w:val="20"/>
          <w:szCs w:val="20"/>
        </w:rPr>
      </w:pPr>
      <w:r>
        <w:rPr>
          <w:rFonts w:ascii="Arial" w:eastAsia="Arial" w:hAnsi="Arial" w:cs="Arial"/>
          <w:sz w:val="20"/>
          <w:szCs w:val="20"/>
        </w:rPr>
        <w:t>3.1 The NDA has been drawn up in duplicate, one for each Party.</w:t>
      </w:r>
    </w:p>
    <w:p w14:paraId="00000050" w14:textId="77777777" w:rsidR="003351EF" w:rsidRDefault="00000000">
      <w:pPr>
        <w:spacing w:before="120" w:after="120" w:line="276" w:lineRule="auto"/>
        <w:jc w:val="both"/>
        <w:rPr>
          <w:rFonts w:ascii="Arial" w:eastAsia="Arial" w:hAnsi="Arial" w:cs="Arial"/>
          <w:sz w:val="20"/>
          <w:szCs w:val="20"/>
        </w:rPr>
      </w:pPr>
      <w:r>
        <w:rPr>
          <w:rFonts w:ascii="Arial" w:eastAsia="Arial" w:hAnsi="Arial" w:cs="Arial"/>
          <w:sz w:val="20"/>
          <w:szCs w:val="20"/>
        </w:rPr>
        <w:t>3.2 Any amendments to the NDA shall be made in writing, otherwise being null and void.</w:t>
      </w:r>
    </w:p>
    <w:p w14:paraId="00000051" w14:textId="77777777" w:rsidR="003351EF" w:rsidRDefault="00000000">
      <w:pPr>
        <w:spacing w:before="120" w:after="120" w:line="276" w:lineRule="auto"/>
        <w:jc w:val="both"/>
        <w:rPr>
          <w:rFonts w:ascii="Arial" w:eastAsia="Arial" w:hAnsi="Arial" w:cs="Arial"/>
          <w:sz w:val="20"/>
          <w:szCs w:val="20"/>
        </w:rPr>
      </w:pPr>
      <w:r>
        <w:rPr>
          <w:rFonts w:ascii="Arial" w:eastAsia="Arial" w:hAnsi="Arial" w:cs="Arial"/>
          <w:sz w:val="20"/>
          <w:szCs w:val="20"/>
        </w:rPr>
        <w:t>3.3 The applicable law for the NDA is Polish law.</w:t>
      </w:r>
    </w:p>
    <w:p w14:paraId="00000052" w14:textId="77777777" w:rsidR="003351EF" w:rsidRDefault="00000000">
      <w:pPr>
        <w:spacing w:before="120" w:after="120" w:line="276" w:lineRule="auto"/>
        <w:jc w:val="both"/>
        <w:rPr>
          <w:rFonts w:ascii="Arial" w:eastAsia="Arial" w:hAnsi="Arial" w:cs="Arial"/>
          <w:sz w:val="20"/>
          <w:szCs w:val="20"/>
        </w:rPr>
      </w:pPr>
      <w:r>
        <w:rPr>
          <w:rFonts w:ascii="Arial" w:eastAsia="Arial" w:hAnsi="Arial" w:cs="Arial"/>
          <w:sz w:val="20"/>
          <w:szCs w:val="20"/>
        </w:rPr>
        <w:t>3.4 Any disputes arising from the NDA shall be resolved amicably by the Parties, and in the absence of such a possibility - by a court having jurisdiction over the seat of Idego.</w:t>
      </w:r>
    </w:p>
    <w:p w14:paraId="00000053" w14:textId="77777777" w:rsidR="003351EF" w:rsidRDefault="00000000">
      <w:pPr>
        <w:spacing w:before="120" w:after="120" w:line="276" w:lineRule="auto"/>
        <w:jc w:val="both"/>
        <w:rPr>
          <w:rFonts w:ascii="Arial" w:eastAsia="Arial" w:hAnsi="Arial" w:cs="Arial"/>
          <w:sz w:val="20"/>
          <w:szCs w:val="20"/>
        </w:rPr>
      </w:pPr>
      <w:r>
        <w:rPr>
          <w:rFonts w:ascii="Arial" w:eastAsia="Arial" w:hAnsi="Arial" w:cs="Arial"/>
          <w:sz w:val="20"/>
          <w:szCs w:val="20"/>
        </w:rPr>
        <w:t>3.5 In case the Parties decide to implement the Project, the Parties should regulate the issue of confidentiality in the Specific Agreement or a separate agreement. However, in case of not taking the above action, the provisions of this NDA will apply during the cooperation consisting in the Project implementation.</w:t>
      </w:r>
    </w:p>
    <w:p w14:paraId="00000054" w14:textId="77777777" w:rsidR="003351EF" w:rsidRDefault="003351EF">
      <w:pPr>
        <w:spacing w:before="120" w:after="120" w:line="276" w:lineRule="auto"/>
        <w:jc w:val="both"/>
        <w:rPr>
          <w:rFonts w:ascii="Arial" w:eastAsia="Arial" w:hAnsi="Arial" w:cs="Arial"/>
          <w:sz w:val="20"/>
          <w:szCs w:val="20"/>
        </w:rPr>
      </w:pPr>
    </w:p>
    <w:p w14:paraId="00000055" w14:textId="77777777" w:rsidR="003351EF" w:rsidRDefault="003351EF">
      <w:pPr>
        <w:spacing w:before="120" w:after="120" w:line="276" w:lineRule="auto"/>
        <w:jc w:val="both"/>
        <w:rPr>
          <w:rFonts w:ascii="Arial" w:eastAsia="Arial" w:hAnsi="Arial" w:cs="Arial"/>
          <w:sz w:val="20"/>
          <w:szCs w:val="20"/>
        </w:rPr>
      </w:pPr>
    </w:p>
    <w:p w14:paraId="00000056" w14:textId="77777777" w:rsidR="003351EF" w:rsidRDefault="003351EF">
      <w:pPr>
        <w:spacing w:before="120" w:after="120" w:line="276" w:lineRule="auto"/>
        <w:jc w:val="both"/>
        <w:rPr>
          <w:rFonts w:ascii="Arial" w:eastAsia="Arial" w:hAnsi="Arial" w:cs="Arial"/>
          <w:sz w:val="20"/>
          <w:szCs w:val="20"/>
        </w:rPr>
      </w:pPr>
    </w:p>
    <w:p w14:paraId="00000057" w14:textId="77777777" w:rsidR="003351EF" w:rsidRDefault="003351EF">
      <w:pPr>
        <w:spacing w:before="120" w:after="120" w:line="276" w:lineRule="auto"/>
        <w:jc w:val="both"/>
        <w:rPr>
          <w:rFonts w:ascii="Arial" w:eastAsia="Arial" w:hAnsi="Arial" w:cs="Arial"/>
          <w:sz w:val="20"/>
          <w:szCs w:val="20"/>
        </w:rPr>
      </w:pPr>
    </w:p>
    <w:p w14:paraId="00000058" w14:textId="77777777" w:rsidR="003351EF" w:rsidRDefault="00000000">
      <w:pPr>
        <w:spacing w:before="120" w:after="120" w:line="276" w:lineRule="auto"/>
        <w:ind w:left="720"/>
        <w:rPr>
          <w:rFonts w:ascii="Arial" w:eastAsia="Arial" w:hAnsi="Arial" w:cs="Arial"/>
          <w:sz w:val="20"/>
          <w:szCs w:val="20"/>
        </w:rPr>
      </w:pPr>
      <w:r>
        <w:rPr>
          <w:rFonts w:ascii="Arial" w:eastAsia="Arial" w:hAnsi="Arial" w:cs="Arial"/>
          <w:sz w:val="20"/>
          <w:szCs w:val="20"/>
        </w:rPr>
        <w:t>______________________</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______________________</w:t>
      </w:r>
    </w:p>
    <w:p w14:paraId="00000059" w14:textId="77777777" w:rsidR="003351EF" w:rsidRDefault="003351EF">
      <w:pPr>
        <w:spacing w:before="120" w:after="120" w:line="276" w:lineRule="auto"/>
        <w:ind w:firstLine="708"/>
        <w:rPr>
          <w:rFonts w:ascii="Arial" w:eastAsia="Arial" w:hAnsi="Arial" w:cs="Arial"/>
          <w:b/>
          <w:sz w:val="20"/>
          <w:szCs w:val="20"/>
        </w:rPr>
      </w:pPr>
    </w:p>
    <w:p w14:paraId="0000005A" w14:textId="77777777" w:rsidR="003351EF" w:rsidRDefault="00000000">
      <w:pPr>
        <w:spacing w:before="120" w:after="120" w:line="276" w:lineRule="auto"/>
        <w:ind w:firstLine="708"/>
        <w:rPr>
          <w:rFonts w:ascii="Arial" w:eastAsia="Arial" w:hAnsi="Arial" w:cs="Arial"/>
          <w:sz w:val="20"/>
          <w:szCs w:val="20"/>
        </w:rPr>
      </w:pPr>
      <w:r>
        <w:rPr>
          <w:rFonts w:ascii="Arial" w:eastAsia="Arial" w:hAnsi="Arial" w:cs="Arial"/>
          <w:b/>
          <w:sz w:val="20"/>
          <w:szCs w:val="20"/>
        </w:rPr>
        <w:t xml:space="preserve">              Partner</w:t>
      </w:r>
      <w:r>
        <w:rPr>
          <w:rFonts w:ascii="Arial" w:eastAsia="Arial" w:hAnsi="Arial" w:cs="Arial"/>
          <w:b/>
          <w:sz w:val="20"/>
          <w:szCs w:val="20"/>
        </w:rPr>
        <w:tab/>
      </w:r>
      <w:r>
        <w:rPr>
          <w:rFonts w:ascii="Arial" w:eastAsia="Arial" w:hAnsi="Arial" w:cs="Arial"/>
          <w:b/>
          <w:sz w:val="20"/>
          <w:szCs w:val="20"/>
        </w:rPr>
        <w:tab/>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b/>
          <w:sz w:val="20"/>
          <w:szCs w:val="20"/>
        </w:rPr>
        <w:t>Idego</w:t>
      </w:r>
    </w:p>
    <w:p w14:paraId="0000005B" w14:textId="77777777" w:rsidR="003351EF" w:rsidRDefault="003351EF">
      <w:pPr>
        <w:spacing w:before="120" w:after="120" w:line="276" w:lineRule="auto"/>
        <w:jc w:val="both"/>
        <w:rPr>
          <w:sz w:val="22"/>
          <w:szCs w:val="22"/>
        </w:rPr>
      </w:pPr>
    </w:p>
    <w:sectPr w:rsidR="003351EF">
      <w:footerReference w:type="default" r:id="rId7"/>
      <w:pgSz w:w="11906" w:h="16838"/>
      <w:pgMar w:top="1417" w:right="1417" w:bottom="1417" w:left="1417"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050E4" w14:textId="77777777" w:rsidR="000E22A5" w:rsidRDefault="000E22A5">
      <w:r>
        <w:separator/>
      </w:r>
    </w:p>
  </w:endnote>
  <w:endnote w:type="continuationSeparator" w:id="0">
    <w:p w14:paraId="455C27B6" w14:textId="77777777" w:rsidR="000E22A5" w:rsidRDefault="000E2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C" w14:textId="77777777" w:rsidR="003351EF" w:rsidRDefault="00000000">
    <w:pPr>
      <w:pBdr>
        <w:top w:val="nil"/>
        <w:left w:val="nil"/>
        <w:bottom w:val="nil"/>
        <w:right w:val="nil"/>
        <w:between w:val="nil"/>
      </w:pBdr>
      <w:tabs>
        <w:tab w:val="center" w:pos="4536"/>
        <w:tab w:val="right" w:pos="9072"/>
      </w:tabs>
      <w:rPr>
        <w:rFonts w:ascii="Arial" w:eastAsia="Arial" w:hAnsi="Arial" w:cs="Arial"/>
        <w:sz w:val="18"/>
        <w:szCs w:val="18"/>
      </w:rPr>
    </w:pPr>
    <w:r>
      <w:rPr>
        <w:rFonts w:ascii="Arial" w:eastAsia="Arial" w:hAnsi="Arial" w:cs="Arial"/>
        <w:sz w:val="14"/>
        <w:szCs w:val="14"/>
      </w:rPr>
      <w:t>version 1.1</w:t>
    </w:r>
  </w:p>
  <w:p w14:paraId="0000005D" w14:textId="19DFA303" w:rsidR="003351EF" w:rsidRDefault="00000000">
    <w:pPr>
      <w:pBdr>
        <w:top w:val="nil"/>
        <w:left w:val="nil"/>
        <w:bottom w:val="nil"/>
        <w:right w:val="nil"/>
        <w:between w:val="nil"/>
      </w:pBdr>
      <w:tabs>
        <w:tab w:val="center" w:pos="4536"/>
        <w:tab w:val="right" w:pos="9072"/>
      </w:tabs>
      <w:jc w:val="right"/>
      <w:rPr>
        <w:rFonts w:ascii="Arial" w:eastAsia="Arial" w:hAnsi="Arial" w:cs="Arial"/>
        <w:color w:val="000000"/>
        <w:sz w:val="18"/>
        <w:szCs w:val="18"/>
      </w:rPr>
    </w:pP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0828FD">
      <w:rPr>
        <w:rFonts w:ascii="Arial" w:eastAsia="Arial" w:hAnsi="Arial" w:cs="Arial"/>
        <w:noProof/>
        <w:sz w:val="18"/>
        <w:szCs w:val="18"/>
      </w:rPr>
      <w:t>1</w:t>
    </w:r>
    <w:r>
      <w:rPr>
        <w:rFonts w:ascii="Arial" w:eastAsia="Arial" w:hAnsi="Arial" w:cs="Arial"/>
        <w:sz w:val="18"/>
        <w:szCs w:val="18"/>
      </w:rPr>
      <w:fldChar w:fldCharType="end"/>
    </w:r>
  </w:p>
  <w:p w14:paraId="0000005E" w14:textId="77777777" w:rsidR="003351EF" w:rsidRDefault="003351EF">
    <w:pPr>
      <w:pBdr>
        <w:top w:val="nil"/>
        <w:left w:val="nil"/>
        <w:bottom w:val="nil"/>
        <w:right w:val="nil"/>
        <w:between w:val="nil"/>
      </w:pBdr>
      <w:tabs>
        <w:tab w:val="center" w:pos="4536"/>
        <w:tab w:val="right" w:pos="9072"/>
      </w:tabs>
      <w:ind w:right="360"/>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B1F01" w14:textId="77777777" w:rsidR="000E22A5" w:rsidRDefault="000E22A5">
      <w:r>
        <w:separator/>
      </w:r>
    </w:p>
  </w:footnote>
  <w:footnote w:type="continuationSeparator" w:id="0">
    <w:p w14:paraId="5D86B033" w14:textId="77777777" w:rsidR="000E22A5" w:rsidRDefault="000E22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91B63"/>
    <w:multiLevelType w:val="multilevel"/>
    <w:tmpl w:val="9EC21B18"/>
    <w:lvl w:ilvl="0">
      <w:start w:val="1"/>
      <w:numFmt w:val="decimal"/>
      <w:lvlText w:val="1.1.%1"/>
      <w:lvlJc w:val="left"/>
      <w:pPr>
        <w:ind w:left="1069" w:hanging="502"/>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A44FF4"/>
    <w:multiLevelType w:val="multilevel"/>
    <w:tmpl w:val="2AA2DABC"/>
    <w:lvl w:ilvl="0">
      <w:start w:val="1"/>
      <w:numFmt w:val="decimal"/>
      <w:lvlText w:val="2.5.%1"/>
      <w:lvlJc w:val="left"/>
      <w:pPr>
        <w:ind w:left="1069" w:hanging="50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C94A0B"/>
    <w:multiLevelType w:val="multilevel"/>
    <w:tmpl w:val="B08C6456"/>
    <w:lvl w:ilvl="0">
      <w:start w:val="1"/>
      <w:numFmt w:val="decimal"/>
      <w:lvlText w:val="2.6.%1"/>
      <w:lvlJc w:val="left"/>
      <w:pPr>
        <w:ind w:left="1069" w:hanging="50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AB4F2A"/>
    <w:multiLevelType w:val="multilevel"/>
    <w:tmpl w:val="80AA79D4"/>
    <w:lvl w:ilvl="0">
      <w:start w:val="1"/>
      <w:numFmt w:val="decimal"/>
      <w:lvlText w:val="2.1.%1"/>
      <w:lvlJc w:val="left"/>
      <w:pPr>
        <w:ind w:left="1004" w:hanging="502"/>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56C8057E"/>
    <w:multiLevelType w:val="multilevel"/>
    <w:tmpl w:val="BC4411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84763781">
    <w:abstractNumId w:val="3"/>
  </w:num>
  <w:num w:numId="2" w16cid:durableId="1045567885">
    <w:abstractNumId w:val="0"/>
  </w:num>
  <w:num w:numId="3" w16cid:durableId="407926423">
    <w:abstractNumId w:val="1"/>
  </w:num>
  <w:num w:numId="4" w16cid:durableId="1387071127">
    <w:abstractNumId w:val="2"/>
  </w:num>
  <w:num w:numId="5" w16cid:durableId="197353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1EF"/>
    <w:rsid w:val="000828FD"/>
    <w:rsid w:val="000E22A5"/>
    <w:rsid w:val="001C68DE"/>
    <w:rsid w:val="003351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EB258"/>
  <w15:docId w15:val="{6EFC8000-C652-400E-8B8C-0276C2D3A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1260</Words>
  <Characters>7563</Characters>
  <Application>Microsoft Office Word</Application>
  <DocSecurity>0</DocSecurity>
  <Lines>63</Lines>
  <Paragraphs>17</Paragraphs>
  <ScaleCrop>false</ScaleCrop>
  <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Marta Donarska</cp:lastModifiedBy>
  <cp:revision>2</cp:revision>
  <dcterms:created xsi:type="dcterms:W3CDTF">2024-06-18T14:16:00Z</dcterms:created>
  <dcterms:modified xsi:type="dcterms:W3CDTF">2024-06-18T14:18:00Z</dcterms:modified>
</cp:coreProperties>
</file>